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642117.xml.htm"/>
      <w:bookmarkStart w:id="1" w:name="kswkform4_17816421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von Heynitz Harald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FLUENCE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4601 FAIRFAX DRIVE, 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Fluence Energy, Inc.</w:t>
              </w:r>
            </w:hyperlink>
            <w:r>
              <w:rPr/>
              <w:t xml:space="preserve"> [ </w:t>
            </w:r>
            <w:r>
              <w:rPr>
                <w:rFonts w:ascii="Times;serif" w:hAnsi="Times;serif"/>
                <w:color w:val="0000FF"/>
                <w:sz w:val="24"/>
                <w:shd w:fill="FFFFFF" w:val="clear"/>
              </w:rPr>
              <w:t>FLNC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58,550</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an existing Rule 10b5-1 trading plan adopted by the reporting person on March 16, 2026. The reporting person is subject to a lock-up agreement that expires at the close of business on June 26, 2026, that was entered into with the representatives of the underwriters in connection with an underwritten public offering of the Issuer's Class A common stock (the "Offering"). The sale of shares is a permissible exemption under the terms of the lock-up agreement.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Patterson as Attorney-in-fact for Harald von Heynitz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4307" TargetMode="External"/><Relationship Id="rId5" Type="http://schemas.openxmlformats.org/officeDocument/2006/relationships/hyperlink" Target="http://www.sec.gov/cgi-bin/browse-edgar?action=getcompany&amp;CIK=000186894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658</Words>
  <Characters>3528</Characters>
  <CharactersWithSpaces>4126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